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80F1C" w14:textId="77777777" w:rsidR="00E804BC" w:rsidRPr="00B44C9C" w:rsidRDefault="00E804BC" w:rsidP="00711715">
      <w:pPr>
        <w:spacing w:line="360" w:lineRule="auto"/>
        <w:ind w:left="993"/>
        <w:jc w:val="right"/>
        <w:rPr>
          <w:rFonts w:asciiTheme="minorHAnsi" w:hAnsiTheme="minorHAnsi" w:cstheme="minorHAnsi"/>
          <w:b/>
          <w:bCs/>
        </w:rPr>
      </w:pPr>
      <w:r w:rsidRPr="00B44C9C">
        <w:rPr>
          <w:rFonts w:asciiTheme="minorHAnsi" w:hAnsiTheme="minorHAnsi" w:cstheme="minorHAnsi"/>
          <w:b/>
          <w:bCs/>
        </w:rPr>
        <w:t>Załącznik nr 1</w:t>
      </w:r>
    </w:p>
    <w:p w14:paraId="09A8725A" w14:textId="7ED7B0C8" w:rsidR="00E804BC" w:rsidRPr="00B44C9C" w:rsidRDefault="0047261A" w:rsidP="00E804BC">
      <w:pPr>
        <w:spacing w:line="360" w:lineRule="auto"/>
        <w:ind w:left="993"/>
        <w:jc w:val="center"/>
        <w:rPr>
          <w:rFonts w:asciiTheme="minorHAnsi" w:hAnsiTheme="minorHAnsi" w:cstheme="minorHAnsi"/>
          <w:b/>
          <w:bCs/>
        </w:rPr>
      </w:pPr>
      <w:r>
        <w:rPr>
          <w:rFonts w:asciiTheme="minorHAnsi" w:hAnsiTheme="minorHAnsi" w:cstheme="minorHAnsi"/>
          <w:b/>
          <w:bCs/>
        </w:rPr>
        <w:t>SZCZEGÓŁOWY OPIS PRZEDMIOTU ZAMÓWIENIA</w:t>
      </w:r>
    </w:p>
    <w:p w14:paraId="1E379D9F" w14:textId="77777777" w:rsidR="00E804BC" w:rsidRPr="00B44C9C" w:rsidRDefault="00E804BC" w:rsidP="00E804BC">
      <w:pPr>
        <w:spacing w:line="360" w:lineRule="auto"/>
        <w:ind w:left="993"/>
        <w:jc w:val="center"/>
        <w:rPr>
          <w:rFonts w:asciiTheme="minorHAnsi" w:hAnsiTheme="minorHAnsi" w:cstheme="minorHAnsi"/>
          <w:b/>
          <w:bCs/>
        </w:rPr>
      </w:pPr>
    </w:p>
    <w:p w14:paraId="56A695B5" w14:textId="77777777" w:rsidR="00E804BC" w:rsidRPr="00B44C9C" w:rsidRDefault="00E804BC" w:rsidP="00E804BC">
      <w:pPr>
        <w:pStyle w:val="Akapitzlist"/>
        <w:numPr>
          <w:ilvl w:val="0"/>
          <w:numId w:val="4"/>
        </w:numPr>
        <w:spacing w:line="360" w:lineRule="auto"/>
        <w:ind w:left="993" w:hanging="578"/>
        <w:jc w:val="both"/>
        <w:rPr>
          <w:rFonts w:asciiTheme="minorHAnsi" w:hAnsiTheme="minorHAnsi" w:cstheme="minorHAnsi"/>
          <w:b/>
        </w:rPr>
      </w:pPr>
      <w:r w:rsidRPr="00B44C9C">
        <w:rPr>
          <w:rFonts w:asciiTheme="minorHAnsi" w:hAnsiTheme="minorHAnsi" w:cstheme="minorHAnsi"/>
          <w:b/>
        </w:rPr>
        <w:t>Wymagania podstawowe</w:t>
      </w:r>
    </w:p>
    <w:p w14:paraId="4FCA1C64" w14:textId="77777777" w:rsidR="00E804BC" w:rsidRPr="00B44C9C" w:rsidRDefault="00E804BC" w:rsidP="00E804BC">
      <w:pPr>
        <w:pStyle w:val="Akapitzlist"/>
        <w:numPr>
          <w:ilvl w:val="0"/>
          <w:numId w:val="2"/>
        </w:numPr>
        <w:spacing w:line="360" w:lineRule="auto"/>
        <w:ind w:left="993"/>
        <w:jc w:val="both"/>
        <w:rPr>
          <w:rFonts w:asciiTheme="minorHAnsi" w:hAnsiTheme="minorHAnsi" w:cstheme="minorHAnsi"/>
          <w:lang w:eastAsia="pl-PL"/>
        </w:rPr>
      </w:pPr>
      <w:r w:rsidRPr="00B44C9C">
        <w:rPr>
          <w:rFonts w:asciiTheme="minorHAnsi" w:hAnsiTheme="minorHAnsi" w:cstheme="minorHAnsi"/>
          <w:lang w:eastAsia="pl-PL"/>
        </w:rPr>
        <w:t xml:space="preserve">Świadczenie obsługi prawnej w sprawach związanych z działalnością Zamawiającego, w szczególności  dotyczących  obszarów: </w:t>
      </w:r>
    </w:p>
    <w:p w14:paraId="17B007CA" w14:textId="40175416" w:rsidR="00E804BC" w:rsidRPr="00B44C9C" w:rsidRDefault="00E804BC" w:rsidP="00E804BC">
      <w:pPr>
        <w:numPr>
          <w:ilvl w:val="1"/>
          <w:numId w:val="2"/>
        </w:numPr>
        <w:spacing w:line="360" w:lineRule="auto"/>
        <w:ind w:left="1418"/>
        <w:jc w:val="both"/>
        <w:rPr>
          <w:rFonts w:asciiTheme="minorHAnsi" w:eastAsia="Times New Roman" w:hAnsiTheme="minorHAnsi" w:cstheme="minorHAnsi"/>
          <w:lang w:eastAsia="pl-PL"/>
        </w:rPr>
      </w:pPr>
      <w:bookmarkStart w:id="0" w:name="_Hlk75180873"/>
      <w:r w:rsidRPr="00B44C9C">
        <w:rPr>
          <w:rFonts w:asciiTheme="minorHAnsi" w:hAnsiTheme="minorHAnsi" w:cstheme="minorHAnsi"/>
        </w:rPr>
        <w:t xml:space="preserve">prawa cywilnego, w tym poprzez sporządzanie i opiniowanie projektów umów cywilnoprawnych </w:t>
      </w:r>
      <w:r w:rsidR="00DC684C">
        <w:rPr>
          <w:rFonts w:asciiTheme="minorHAnsi" w:hAnsiTheme="minorHAnsi" w:cstheme="minorHAnsi"/>
        </w:rPr>
        <w:br/>
      </w:r>
      <w:r w:rsidRPr="00B44C9C">
        <w:rPr>
          <w:rFonts w:asciiTheme="minorHAnsi" w:hAnsiTheme="minorHAnsi" w:cstheme="minorHAnsi"/>
        </w:rPr>
        <w:t>z uwzględnieniem charakteru Zamawiającego, świadczenie doradztwa związanego z rozporządzaniem oraz nabywaniem składników majątkowych, w tym nieruchomości, zastępstwa</w:t>
      </w:r>
      <w:r w:rsidRPr="00B44C9C">
        <w:rPr>
          <w:rFonts w:asciiTheme="minorHAnsi" w:eastAsia="Times New Roman" w:hAnsiTheme="minorHAnsi" w:cstheme="minorHAnsi"/>
          <w:lang w:eastAsia="pl-PL"/>
        </w:rPr>
        <w:t xml:space="preserve"> prawnego w zakresie wykonywania wszystkich czynności niezbędnych do zaspokojenia roszczeń Z</w:t>
      </w:r>
      <w:r>
        <w:rPr>
          <w:rFonts w:asciiTheme="minorHAnsi" w:eastAsia="Times New Roman" w:hAnsiTheme="minorHAnsi" w:cstheme="minorHAnsi"/>
          <w:lang w:eastAsia="pl-PL"/>
        </w:rPr>
        <w:t>amawiającego</w:t>
      </w:r>
      <w:r w:rsidRPr="00B44C9C">
        <w:rPr>
          <w:rFonts w:asciiTheme="minorHAnsi" w:eastAsia="Times New Roman" w:hAnsiTheme="minorHAnsi" w:cstheme="minorHAnsi"/>
          <w:lang w:eastAsia="pl-PL"/>
        </w:rPr>
        <w:t xml:space="preserve"> </w:t>
      </w:r>
      <w:r w:rsidR="00DC684C">
        <w:rPr>
          <w:rFonts w:asciiTheme="minorHAnsi" w:eastAsia="Times New Roman" w:hAnsiTheme="minorHAnsi" w:cstheme="minorHAnsi"/>
          <w:lang w:eastAsia="pl-PL"/>
        </w:rPr>
        <w:br/>
      </w:r>
      <w:r w:rsidRPr="00B44C9C">
        <w:rPr>
          <w:rFonts w:asciiTheme="minorHAnsi" w:eastAsia="Times New Roman" w:hAnsiTheme="minorHAnsi" w:cstheme="minorHAnsi"/>
          <w:lang w:eastAsia="pl-PL"/>
        </w:rPr>
        <w:t>(m.in.: kierowanie do dłużników wezwań ponaglających do zapłaty, windykacja należności, kierowanie wniosków egzekucyjnych, współpraca z komornikiem oraz czuwanie nad przebiegiem postępowania egzekucyjnego do czasu  jego całkowitego zakończenia);</w:t>
      </w:r>
    </w:p>
    <w:p w14:paraId="57279398" w14:textId="5A01B106" w:rsidR="00E804BC" w:rsidRPr="00B44C9C" w:rsidRDefault="00E804BC" w:rsidP="00E804BC">
      <w:pPr>
        <w:pStyle w:val="Akapitzlist"/>
        <w:numPr>
          <w:ilvl w:val="1"/>
          <w:numId w:val="2"/>
        </w:numPr>
        <w:spacing w:line="360" w:lineRule="auto"/>
        <w:ind w:left="1418"/>
        <w:contextualSpacing w:val="0"/>
        <w:jc w:val="both"/>
        <w:rPr>
          <w:rFonts w:asciiTheme="minorHAnsi" w:hAnsiTheme="minorHAnsi" w:cstheme="minorHAnsi"/>
        </w:rPr>
      </w:pPr>
      <w:r w:rsidRPr="00B44C9C">
        <w:rPr>
          <w:rFonts w:asciiTheme="minorHAnsi" w:hAnsiTheme="minorHAnsi" w:cstheme="minorHAnsi"/>
        </w:rPr>
        <w:t xml:space="preserve">prawa spółek handlowych, w tym poprzez świadczenie doradztwa związanego z tworzeniem </w:t>
      </w:r>
      <w:r w:rsidR="00DC684C">
        <w:rPr>
          <w:rFonts w:asciiTheme="minorHAnsi" w:hAnsiTheme="minorHAnsi" w:cstheme="minorHAnsi"/>
        </w:rPr>
        <w:br/>
      </w:r>
      <w:r w:rsidRPr="00B44C9C">
        <w:rPr>
          <w:rFonts w:asciiTheme="minorHAnsi" w:hAnsiTheme="minorHAnsi" w:cstheme="minorHAnsi"/>
        </w:rPr>
        <w:t>oraz przystępowaniem do spółek prawa handlowego oraz występowaniem z tych spółek;</w:t>
      </w:r>
    </w:p>
    <w:p w14:paraId="24560570" w14:textId="77777777" w:rsidR="00E804BC" w:rsidRPr="00B44C9C" w:rsidRDefault="00E804BC" w:rsidP="00E804BC">
      <w:pPr>
        <w:pStyle w:val="Akapitzlist"/>
        <w:numPr>
          <w:ilvl w:val="1"/>
          <w:numId w:val="2"/>
        </w:numPr>
        <w:spacing w:line="360" w:lineRule="auto"/>
        <w:ind w:left="1418"/>
        <w:contextualSpacing w:val="0"/>
        <w:jc w:val="both"/>
        <w:rPr>
          <w:rFonts w:asciiTheme="minorHAnsi" w:hAnsiTheme="minorHAnsi" w:cstheme="minorHAnsi"/>
          <w:i/>
          <w:iCs/>
        </w:rPr>
      </w:pPr>
      <w:r w:rsidRPr="00B44C9C">
        <w:rPr>
          <w:rFonts w:asciiTheme="minorHAnsi" w:hAnsiTheme="minorHAnsi" w:cstheme="minorHAnsi"/>
        </w:rPr>
        <w:t>prawa własności intelektualnej, w tym poprzez świadczenie doradztwa w zakresie ochrony własności intelektualnej oraz komercjalizacji wyników badań naukowych i prac rozwojowych</w:t>
      </w:r>
      <w:r w:rsidRPr="00B44C9C">
        <w:rPr>
          <w:rFonts w:asciiTheme="minorHAnsi" w:hAnsiTheme="minorHAnsi" w:cstheme="minorHAnsi"/>
          <w:i/>
          <w:iCs/>
        </w:rPr>
        <w:t xml:space="preserve">; </w:t>
      </w:r>
    </w:p>
    <w:p w14:paraId="131B5DA7" w14:textId="0DF115A4" w:rsidR="00E804BC" w:rsidRPr="00B44C9C" w:rsidRDefault="00E804BC" w:rsidP="00E804BC">
      <w:pPr>
        <w:pStyle w:val="Akapitzlist"/>
        <w:numPr>
          <w:ilvl w:val="1"/>
          <w:numId w:val="2"/>
        </w:numPr>
        <w:spacing w:line="360" w:lineRule="auto"/>
        <w:ind w:left="1418"/>
        <w:contextualSpacing w:val="0"/>
        <w:jc w:val="both"/>
        <w:rPr>
          <w:rFonts w:asciiTheme="minorHAnsi" w:hAnsiTheme="minorHAnsi" w:cstheme="minorHAnsi"/>
        </w:rPr>
      </w:pPr>
      <w:r w:rsidRPr="00B44C9C">
        <w:rPr>
          <w:rFonts w:asciiTheme="minorHAnsi" w:hAnsiTheme="minorHAnsi" w:cstheme="minorHAnsi"/>
        </w:rPr>
        <w:t xml:space="preserve">prawa pracy i ubezpieczeń społecznych, w tym świadczenie bieżącego doradztwa związanego </w:t>
      </w:r>
      <w:r w:rsidR="00DC684C">
        <w:rPr>
          <w:rFonts w:asciiTheme="minorHAnsi" w:hAnsiTheme="minorHAnsi" w:cstheme="minorHAnsi"/>
        </w:rPr>
        <w:br/>
      </w:r>
      <w:r w:rsidRPr="00B44C9C">
        <w:rPr>
          <w:rFonts w:asciiTheme="minorHAnsi" w:hAnsiTheme="minorHAnsi" w:cstheme="minorHAnsi"/>
        </w:rPr>
        <w:t>z zatrudnieniem;</w:t>
      </w:r>
    </w:p>
    <w:p w14:paraId="1BE4797B" w14:textId="77777777" w:rsidR="00E804BC" w:rsidRPr="00B44C9C" w:rsidRDefault="00E804BC" w:rsidP="00E804BC">
      <w:pPr>
        <w:pStyle w:val="Akapitzlist"/>
        <w:numPr>
          <w:ilvl w:val="1"/>
          <w:numId w:val="2"/>
        </w:numPr>
        <w:spacing w:line="360" w:lineRule="auto"/>
        <w:ind w:left="1418"/>
        <w:contextualSpacing w:val="0"/>
        <w:jc w:val="both"/>
        <w:rPr>
          <w:rFonts w:asciiTheme="minorHAnsi" w:hAnsiTheme="minorHAnsi" w:cstheme="minorHAnsi"/>
        </w:rPr>
      </w:pPr>
      <w:r w:rsidRPr="00B44C9C">
        <w:rPr>
          <w:rFonts w:asciiTheme="minorHAnsi" w:hAnsiTheme="minorHAnsi" w:cstheme="minorHAnsi"/>
        </w:rPr>
        <w:t>prawa zamówień publicznych, w tym poprzez świadczenie doradztwa związanego z wyborem trybu udzielenia zamówienia publicznego i opracowaniem dokumentacji w celu udzielenia zamówienia publicznego;</w:t>
      </w:r>
    </w:p>
    <w:p w14:paraId="271524CC" w14:textId="77777777" w:rsidR="00E804BC" w:rsidRPr="00B44C9C" w:rsidRDefault="00E804BC" w:rsidP="00E804BC">
      <w:pPr>
        <w:pStyle w:val="Akapitzlist"/>
        <w:numPr>
          <w:ilvl w:val="1"/>
          <w:numId w:val="2"/>
        </w:numPr>
        <w:spacing w:line="360" w:lineRule="auto"/>
        <w:ind w:left="1418"/>
        <w:contextualSpacing w:val="0"/>
        <w:jc w:val="both"/>
        <w:rPr>
          <w:rFonts w:asciiTheme="minorHAnsi" w:hAnsiTheme="minorHAnsi" w:cstheme="minorHAnsi"/>
        </w:rPr>
      </w:pPr>
      <w:r w:rsidRPr="00B44C9C">
        <w:rPr>
          <w:rFonts w:asciiTheme="minorHAnsi" w:hAnsiTheme="minorHAnsi" w:cstheme="minorHAnsi"/>
        </w:rPr>
        <w:t>prawa ochrony środowiska</w:t>
      </w:r>
      <w:r>
        <w:rPr>
          <w:rFonts w:asciiTheme="minorHAnsi" w:hAnsiTheme="minorHAnsi" w:cstheme="minorHAnsi"/>
        </w:rPr>
        <w:t>;</w:t>
      </w:r>
      <w:r w:rsidRPr="00B44C9C">
        <w:rPr>
          <w:rFonts w:asciiTheme="minorHAnsi" w:hAnsiTheme="minorHAnsi" w:cstheme="minorHAnsi"/>
        </w:rPr>
        <w:t xml:space="preserve"> </w:t>
      </w:r>
    </w:p>
    <w:p w14:paraId="71317A07" w14:textId="77777777" w:rsidR="00E804BC" w:rsidRPr="00B44C9C" w:rsidRDefault="00E804BC" w:rsidP="00E804BC">
      <w:pPr>
        <w:pStyle w:val="Akapitzlist"/>
        <w:numPr>
          <w:ilvl w:val="1"/>
          <w:numId w:val="2"/>
        </w:numPr>
        <w:spacing w:line="360" w:lineRule="auto"/>
        <w:ind w:left="1418"/>
        <w:contextualSpacing w:val="0"/>
        <w:jc w:val="both"/>
        <w:rPr>
          <w:rFonts w:asciiTheme="minorHAnsi" w:hAnsiTheme="minorHAnsi" w:cstheme="minorHAnsi"/>
        </w:rPr>
      </w:pPr>
      <w:r w:rsidRPr="00B44C9C">
        <w:rPr>
          <w:rFonts w:asciiTheme="minorHAnsi" w:hAnsiTheme="minorHAnsi" w:cstheme="minorHAnsi"/>
        </w:rPr>
        <w:t>przepisów obowiązujących poza polskim systemem prawnym,  w tym poprzez świadczenie doradztwa związanego z tworzeniem i wprowadzaniem do obrotu gospodarczego nowych rozwiązań technologicznych i informatycznych, stanowiących wynik, realizowanych w ramach międzynarodowych projektów prac badawczo-rozwojowych;</w:t>
      </w:r>
    </w:p>
    <w:p w14:paraId="1223492B" w14:textId="77777777" w:rsidR="00E804BC" w:rsidRPr="00B44C9C" w:rsidRDefault="00E804BC" w:rsidP="00E804BC">
      <w:pPr>
        <w:pStyle w:val="Akapitzlist"/>
        <w:numPr>
          <w:ilvl w:val="1"/>
          <w:numId w:val="2"/>
        </w:numPr>
        <w:spacing w:line="360" w:lineRule="auto"/>
        <w:ind w:left="1418"/>
        <w:contextualSpacing w:val="0"/>
        <w:jc w:val="both"/>
        <w:rPr>
          <w:rFonts w:asciiTheme="minorHAnsi" w:hAnsiTheme="minorHAnsi" w:cstheme="minorHAnsi"/>
        </w:rPr>
      </w:pPr>
      <w:r w:rsidRPr="00B44C9C">
        <w:rPr>
          <w:rFonts w:asciiTheme="minorHAnsi" w:hAnsiTheme="minorHAnsi" w:cstheme="minorHAnsi"/>
        </w:rPr>
        <w:t xml:space="preserve">świadczenie innych </w:t>
      </w:r>
      <w:r w:rsidRPr="00B44C9C">
        <w:rPr>
          <w:rFonts w:asciiTheme="minorHAnsi" w:eastAsia="Times New Roman" w:hAnsiTheme="minorHAnsi" w:cstheme="minorHAnsi"/>
          <w:lang w:eastAsia="pl-PL"/>
        </w:rPr>
        <w:t>usług związanych z szerokim pojęciem „obsługa prawna”.</w:t>
      </w:r>
    </w:p>
    <w:bookmarkEnd w:id="0"/>
    <w:p w14:paraId="6EBABC60" w14:textId="77777777" w:rsidR="00E804BC" w:rsidRDefault="00E804BC" w:rsidP="00E804BC">
      <w:pPr>
        <w:pStyle w:val="Akapitzlist"/>
        <w:numPr>
          <w:ilvl w:val="0"/>
          <w:numId w:val="2"/>
        </w:numPr>
        <w:spacing w:line="360" w:lineRule="auto"/>
        <w:ind w:left="993"/>
        <w:contextualSpacing w:val="0"/>
        <w:jc w:val="both"/>
        <w:rPr>
          <w:rFonts w:asciiTheme="minorHAnsi" w:eastAsia="Times New Roman" w:hAnsiTheme="minorHAnsi" w:cstheme="minorHAnsi"/>
          <w:lang w:eastAsia="pl-PL"/>
        </w:rPr>
      </w:pPr>
      <w:r w:rsidRPr="00B44C9C">
        <w:rPr>
          <w:rFonts w:asciiTheme="minorHAnsi" w:eastAsia="Times New Roman" w:hAnsiTheme="minorHAnsi" w:cstheme="minorHAnsi"/>
          <w:lang w:eastAsia="pl-PL"/>
        </w:rPr>
        <w:t>Zastępstwo procesowe</w:t>
      </w:r>
      <w:r>
        <w:rPr>
          <w:rFonts w:asciiTheme="minorHAnsi" w:eastAsia="Times New Roman" w:hAnsiTheme="minorHAnsi" w:cstheme="minorHAnsi"/>
          <w:lang w:eastAsia="pl-PL"/>
        </w:rPr>
        <w:t xml:space="preserve"> </w:t>
      </w:r>
      <w:r w:rsidRPr="00B44C9C">
        <w:rPr>
          <w:rFonts w:asciiTheme="minorHAnsi" w:eastAsia="Times New Roman" w:hAnsiTheme="minorHAnsi" w:cstheme="minorHAnsi"/>
          <w:lang w:eastAsia="pl-PL"/>
        </w:rPr>
        <w:t>w postępowaniach w zakresie wszystkich dziedzin prawa, prowadzonych przed Sądem Najwyższym, sądami powszechnymi, sądami administracyjnymi, sądami polubownymi, Krajową Izbą Odwoławczą, przed organami administracji państwowej, samorządowej oraz organami egzekucyjnymi, władzami instytucji ubezpieczeniowych, Prezesem Urzędu Ochrony Danych Osobowych.</w:t>
      </w:r>
    </w:p>
    <w:p w14:paraId="0CD9B334" w14:textId="77777777" w:rsidR="00E804BC" w:rsidRPr="00B44C9C" w:rsidRDefault="00E804BC" w:rsidP="00E804BC">
      <w:pPr>
        <w:pStyle w:val="Akapitzlist"/>
        <w:numPr>
          <w:ilvl w:val="0"/>
          <w:numId w:val="2"/>
        </w:numPr>
        <w:spacing w:line="360" w:lineRule="auto"/>
        <w:ind w:left="993" w:hanging="357"/>
        <w:contextualSpacing w:val="0"/>
        <w:jc w:val="both"/>
        <w:rPr>
          <w:rFonts w:asciiTheme="minorHAnsi" w:eastAsia="Times New Roman" w:hAnsiTheme="minorHAnsi" w:cstheme="minorHAnsi"/>
          <w:lang w:eastAsia="pl-PL"/>
        </w:rPr>
      </w:pPr>
      <w:r w:rsidRPr="00B44C9C">
        <w:rPr>
          <w:rFonts w:asciiTheme="minorHAnsi" w:eastAsia="Times New Roman" w:hAnsiTheme="minorHAnsi" w:cstheme="minorHAnsi"/>
          <w:lang w:eastAsia="pl-PL"/>
        </w:rPr>
        <w:t>Świadczenie dodatkowych usług</w:t>
      </w:r>
      <w:r>
        <w:rPr>
          <w:rFonts w:asciiTheme="minorHAnsi" w:eastAsia="Times New Roman" w:hAnsiTheme="minorHAnsi" w:cstheme="minorHAnsi"/>
          <w:lang w:eastAsia="pl-PL"/>
        </w:rPr>
        <w:t xml:space="preserve">  </w:t>
      </w:r>
      <w:r w:rsidRPr="00B44C9C">
        <w:rPr>
          <w:rFonts w:asciiTheme="minorHAnsi" w:eastAsia="Times New Roman" w:hAnsiTheme="minorHAnsi" w:cstheme="minorHAnsi"/>
          <w:lang w:eastAsia="pl-PL"/>
        </w:rPr>
        <w:t>typu:</w:t>
      </w:r>
    </w:p>
    <w:p w14:paraId="16BC7CFA" w14:textId="77777777" w:rsidR="00E804BC" w:rsidRPr="00B44C9C" w:rsidRDefault="00E804BC" w:rsidP="00E804BC">
      <w:pPr>
        <w:pStyle w:val="Akapitzlist"/>
        <w:spacing w:line="360" w:lineRule="auto"/>
        <w:ind w:left="1418" w:hanging="425"/>
        <w:contextualSpacing w:val="0"/>
        <w:jc w:val="both"/>
        <w:rPr>
          <w:rFonts w:asciiTheme="minorHAnsi" w:eastAsia="Times New Roman" w:hAnsiTheme="minorHAnsi" w:cstheme="minorHAnsi"/>
          <w:lang w:eastAsia="pl-PL"/>
        </w:rPr>
      </w:pPr>
      <w:r>
        <w:rPr>
          <w:rFonts w:asciiTheme="minorHAnsi" w:eastAsia="Times New Roman" w:hAnsiTheme="minorHAnsi" w:cstheme="minorHAnsi"/>
          <w:lang w:eastAsia="pl-PL"/>
        </w:rPr>
        <w:t>3.1</w:t>
      </w:r>
      <w:r>
        <w:rPr>
          <w:rFonts w:asciiTheme="minorHAnsi" w:eastAsia="Times New Roman" w:hAnsiTheme="minorHAnsi" w:cstheme="minorHAnsi"/>
          <w:lang w:eastAsia="pl-PL"/>
        </w:rPr>
        <w:tab/>
      </w:r>
      <w:r w:rsidRPr="00B44C9C">
        <w:rPr>
          <w:rFonts w:asciiTheme="minorHAnsi" w:eastAsia="Times New Roman" w:hAnsiTheme="minorHAnsi" w:cstheme="minorHAnsi"/>
          <w:lang w:eastAsia="pl-PL"/>
        </w:rPr>
        <w:t>udział w ustnych negocjacjach w zakresie warunków spłaty zadłużenia, asystowanie przy podpisywaniu umów;</w:t>
      </w:r>
    </w:p>
    <w:p w14:paraId="5813474E" w14:textId="77777777" w:rsidR="00E804BC" w:rsidRPr="00E86924" w:rsidRDefault="00E804BC" w:rsidP="00E804BC">
      <w:pPr>
        <w:pStyle w:val="Akapitzlist"/>
        <w:spacing w:line="360" w:lineRule="auto"/>
        <w:ind w:left="1418" w:hanging="425"/>
        <w:contextualSpacing w:val="0"/>
        <w:jc w:val="both"/>
        <w:rPr>
          <w:rFonts w:asciiTheme="minorHAnsi" w:eastAsia="Times New Roman" w:hAnsiTheme="minorHAnsi" w:cstheme="minorHAnsi"/>
          <w:lang w:eastAsia="pl-PL"/>
        </w:rPr>
      </w:pPr>
      <w:r>
        <w:rPr>
          <w:rFonts w:asciiTheme="minorHAnsi" w:eastAsia="Times New Roman" w:hAnsiTheme="minorHAnsi" w:cstheme="minorHAnsi"/>
          <w:lang w:eastAsia="pl-PL"/>
        </w:rPr>
        <w:t>3.2</w:t>
      </w:r>
      <w:r>
        <w:rPr>
          <w:rFonts w:asciiTheme="minorHAnsi" w:eastAsia="Times New Roman" w:hAnsiTheme="minorHAnsi" w:cstheme="minorHAnsi"/>
          <w:lang w:eastAsia="pl-PL"/>
        </w:rPr>
        <w:tab/>
      </w:r>
      <w:r w:rsidRPr="00E86924">
        <w:rPr>
          <w:rFonts w:asciiTheme="minorHAnsi" w:eastAsia="Times New Roman" w:hAnsiTheme="minorHAnsi" w:cstheme="minorHAnsi"/>
          <w:lang w:eastAsia="pl-PL"/>
        </w:rPr>
        <w:t>przeprowadzanie szkoleń z zakresu tematyki prawnej.</w:t>
      </w:r>
    </w:p>
    <w:p w14:paraId="76A355EC" w14:textId="77777777" w:rsidR="00E804BC" w:rsidRDefault="00E804BC" w:rsidP="00E804BC">
      <w:pPr>
        <w:pStyle w:val="Akapitzlist"/>
        <w:spacing w:line="360" w:lineRule="auto"/>
        <w:ind w:left="993"/>
        <w:jc w:val="both"/>
        <w:rPr>
          <w:rFonts w:asciiTheme="minorHAnsi" w:hAnsiTheme="minorHAnsi" w:cstheme="minorHAnsi"/>
        </w:rPr>
      </w:pPr>
      <w:r w:rsidRPr="00B44C9C">
        <w:rPr>
          <w:rFonts w:asciiTheme="minorHAnsi" w:hAnsiTheme="minorHAnsi" w:cstheme="minorHAnsi"/>
        </w:rPr>
        <w:lastRenderedPageBreak/>
        <w:t xml:space="preserve">UWAGA: Liczba godzin szkoleniowych i na negocjacje sumarycznie nie przekroczy 50 w ciągu roku (godzina liczona jest jako 60 min). </w:t>
      </w:r>
    </w:p>
    <w:p w14:paraId="73242FB9" w14:textId="77777777" w:rsidR="00E804BC" w:rsidRPr="00B44C9C" w:rsidRDefault="00E804BC" w:rsidP="00E804BC">
      <w:pPr>
        <w:pStyle w:val="Akapitzlist"/>
        <w:numPr>
          <w:ilvl w:val="0"/>
          <w:numId w:val="4"/>
        </w:numPr>
        <w:spacing w:line="360" w:lineRule="auto"/>
        <w:ind w:left="993" w:hanging="578"/>
        <w:jc w:val="both"/>
        <w:rPr>
          <w:rFonts w:asciiTheme="minorHAnsi" w:eastAsia="Times New Roman" w:hAnsiTheme="minorHAnsi" w:cstheme="minorHAnsi"/>
          <w:b/>
          <w:lang w:eastAsia="pl-PL"/>
        </w:rPr>
      </w:pPr>
      <w:r w:rsidRPr="00B44C9C">
        <w:rPr>
          <w:rFonts w:asciiTheme="minorHAnsi" w:hAnsiTheme="minorHAnsi" w:cstheme="minorHAnsi"/>
          <w:b/>
        </w:rPr>
        <w:t xml:space="preserve">Wymagania </w:t>
      </w:r>
      <w:r w:rsidRPr="00B44C9C">
        <w:rPr>
          <w:rFonts w:asciiTheme="minorHAnsi" w:eastAsia="Times New Roman" w:hAnsiTheme="minorHAnsi" w:cstheme="minorHAnsi"/>
          <w:b/>
          <w:lang w:eastAsia="pl-PL"/>
        </w:rPr>
        <w:t>dodatkowe</w:t>
      </w:r>
    </w:p>
    <w:p w14:paraId="4E47C91D" w14:textId="77777777" w:rsidR="00E804BC" w:rsidRPr="00DC684C" w:rsidRDefault="00E804BC" w:rsidP="00E804BC">
      <w:pPr>
        <w:pStyle w:val="Akapitzlist"/>
        <w:numPr>
          <w:ilvl w:val="0"/>
          <w:numId w:val="1"/>
        </w:numPr>
        <w:spacing w:line="360" w:lineRule="auto"/>
        <w:ind w:left="993"/>
        <w:jc w:val="both"/>
      </w:pPr>
      <w:r w:rsidRPr="00DC684C">
        <w:rPr>
          <w:rFonts w:eastAsia="Times New Roman"/>
          <w:lang w:eastAsia="pl-PL"/>
        </w:rPr>
        <w:t>Zlecenia będą przekazywane Wykonawcy w formie wiadomości e-mail, a w sprawach pilnych także osobiście lub telefonicznie.</w:t>
      </w:r>
    </w:p>
    <w:p w14:paraId="32FB2F95" w14:textId="77777777" w:rsidR="00E804BC" w:rsidRPr="00B44C9C" w:rsidRDefault="00E804BC" w:rsidP="00E804BC">
      <w:pPr>
        <w:pStyle w:val="Akapitzlist"/>
        <w:numPr>
          <w:ilvl w:val="0"/>
          <w:numId w:val="1"/>
        </w:numPr>
        <w:spacing w:line="360" w:lineRule="auto"/>
        <w:ind w:left="993"/>
        <w:jc w:val="both"/>
        <w:rPr>
          <w:rFonts w:asciiTheme="minorHAnsi" w:eastAsia="Times New Roman" w:hAnsiTheme="minorHAnsi" w:cstheme="minorHAnsi"/>
          <w:lang w:eastAsia="pl-PL"/>
        </w:rPr>
      </w:pPr>
      <w:r w:rsidRPr="00B44C9C">
        <w:rPr>
          <w:rFonts w:asciiTheme="minorHAnsi" w:eastAsia="Times New Roman" w:hAnsiTheme="minorHAnsi" w:cstheme="minorHAnsi"/>
          <w:lang w:eastAsia="pl-PL"/>
        </w:rPr>
        <w:t>Wykonawca zapewni świadczenie obsługi prawnej:</w:t>
      </w:r>
    </w:p>
    <w:p w14:paraId="695D3CFF" w14:textId="77777777" w:rsidR="00E804BC" w:rsidRPr="00B44C9C" w:rsidRDefault="00E804BC" w:rsidP="00E804BC">
      <w:pPr>
        <w:pStyle w:val="Akapitzlist"/>
        <w:spacing w:line="360" w:lineRule="auto"/>
        <w:ind w:left="993"/>
        <w:jc w:val="both"/>
        <w:rPr>
          <w:rFonts w:asciiTheme="minorHAnsi" w:eastAsia="Times New Roman" w:hAnsiTheme="minorHAnsi" w:cstheme="minorHAnsi"/>
          <w:lang w:eastAsia="pl-PL"/>
        </w:rPr>
      </w:pPr>
      <w:r>
        <w:rPr>
          <w:rFonts w:asciiTheme="minorHAnsi" w:eastAsia="Times New Roman" w:hAnsiTheme="minorHAnsi" w:cstheme="minorHAnsi"/>
          <w:lang w:eastAsia="pl-PL"/>
        </w:rPr>
        <w:t>2.1</w:t>
      </w:r>
      <w:r>
        <w:rPr>
          <w:rFonts w:asciiTheme="minorHAnsi" w:eastAsia="Times New Roman" w:hAnsiTheme="minorHAnsi" w:cstheme="minorHAnsi"/>
          <w:lang w:eastAsia="pl-PL"/>
        </w:rPr>
        <w:tab/>
      </w:r>
      <w:r w:rsidRPr="00B44C9C">
        <w:rPr>
          <w:rFonts w:asciiTheme="minorHAnsi" w:eastAsia="Times New Roman" w:hAnsiTheme="minorHAnsi" w:cstheme="minorHAnsi"/>
          <w:lang w:eastAsia="pl-PL"/>
        </w:rPr>
        <w:t>poprzez środki komunikacji elektronicznej e-mail oraz systemy porozumiewania się na odległość– dla omówienia i sporządzania opinii prawnych, opracowań, informacji i analiz, przygotowania i weryfikacji projektów dokumentów,  itp. spraw,</w:t>
      </w:r>
    </w:p>
    <w:p w14:paraId="38F9E29F" w14:textId="77777777" w:rsidR="00E804BC" w:rsidRPr="00B44C9C" w:rsidRDefault="00E804BC" w:rsidP="00E804BC">
      <w:pPr>
        <w:pStyle w:val="Akapitzlist"/>
        <w:spacing w:line="360" w:lineRule="auto"/>
        <w:ind w:left="993"/>
        <w:jc w:val="both"/>
        <w:rPr>
          <w:rFonts w:asciiTheme="minorHAnsi" w:eastAsia="Times New Roman" w:hAnsiTheme="minorHAnsi" w:cstheme="minorHAnsi"/>
          <w:lang w:eastAsia="pl-PL"/>
        </w:rPr>
      </w:pPr>
      <w:r>
        <w:rPr>
          <w:rFonts w:asciiTheme="minorHAnsi" w:eastAsia="Times New Roman" w:hAnsiTheme="minorHAnsi" w:cstheme="minorHAnsi"/>
          <w:lang w:eastAsia="pl-PL"/>
        </w:rPr>
        <w:t>2.2</w:t>
      </w:r>
      <w:r>
        <w:rPr>
          <w:rFonts w:asciiTheme="minorHAnsi" w:eastAsia="Times New Roman" w:hAnsiTheme="minorHAnsi" w:cstheme="minorHAnsi"/>
          <w:lang w:eastAsia="pl-PL"/>
        </w:rPr>
        <w:tab/>
      </w:r>
      <w:r w:rsidRPr="00B44C9C">
        <w:rPr>
          <w:rFonts w:asciiTheme="minorHAnsi" w:eastAsia="Times New Roman" w:hAnsiTheme="minorHAnsi" w:cstheme="minorHAnsi"/>
          <w:lang w:eastAsia="pl-PL"/>
        </w:rPr>
        <w:t>telefonicznie – dla bieżących konsultacji, zapytań itp. spraw.</w:t>
      </w:r>
    </w:p>
    <w:p w14:paraId="6577BB63" w14:textId="77777777" w:rsidR="00E804BC" w:rsidRPr="00B44C9C" w:rsidRDefault="00E804BC" w:rsidP="00E804BC">
      <w:pPr>
        <w:pStyle w:val="Akapitzlist"/>
        <w:spacing w:line="360" w:lineRule="auto"/>
        <w:ind w:left="993"/>
        <w:jc w:val="both"/>
        <w:rPr>
          <w:rFonts w:asciiTheme="minorHAnsi" w:eastAsia="Times New Roman" w:hAnsiTheme="minorHAnsi" w:cstheme="minorHAnsi"/>
          <w:lang w:eastAsia="pl-PL"/>
        </w:rPr>
      </w:pPr>
      <w:r>
        <w:rPr>
          <w:rFonts w:asciiTheme="minorHAnsi" w:eastAsia="Times New Roman" w:hAnsiTheme="minorHAnsi" w:cstheme="minorHAnsi"/>
          <w:lang w:eastAsia="pl-PL"/>
        </w:rPr>
        <w:t>2.3</w:t>
      </w:r>
      <w:r>
        <w:rPr>
          <w:rFonts w:asciiTheme="minorHAnsi" w:eastAsia="Times New Roman" w:hAnsiTheme="minorHAnsi" w:cstheme="minorHAnsi"/>
          <w:lang w:eastAsia="pl-PL"/>
        </w:rPr>
        <w:tab/>
      </w:r>
      <w:r w:rsidRPr="00B44C9C">
        <w:rPr>
          <w:rFonts w:asciiTheme="minorHAnsi" w:eastAsia="Times New Roman" w:hAnsiTheme="minorHAnsi" w:cstheme="minorHAnsi"/>
          <w:lang w:eastAsia="pl-PL"/>
        </w:rPr>
        <w:t xml:space="preserve">poprzez bezpośrednie konsultacje – w sprawach szczególnych  w siedzibie </w:t>
      </w:r>
      <w:r>
        <w:rPr>
          <w:rFonts w:asciiTheme="minorHAnsi" w:eastAsia="Times New Roman" w:hAnsiTheme="minorHAnsi" w:cstheme="minorHAnsi"/>
          <w:lang w:eastAsia="pl-PL"/>
        </w:rPr>
        <w:t>Zamawiającego.</w:t>
      </w:r>
      <w:r w:rsidRPr="00B44C9C">
        <w:rPr>
          <w:rFonts w:asciiTheme="minorHAnsi" w:eastAsia="Times New Roman" w:hAnsiTheme="minorHAnsi" w:cstheme="minorHAnsi"/>
          <w:lang w:eastAsia="pl-PL"/>
        </w:rPr>
        <w:t xml:space="preserve"> </w:t>
      </w:r>
    </w:p>
    <w:p w14:paraId="3D5CA5B3" w14:textId="77777777" w:rsidR="00E804BC" w:rsidRPr="00B44C9C" w:rsidRDefault="00E804BC" w:rsidP="00E804BC">
      <w:pPr>
        <w:pStyle w:val="Akapitzlist"/>
        <w:numPr>
          <w:ilvl w:val="0"/>
          <w:numId w:val="1"/>
        </w:numPr>
        <w:spacing w:line="360" w:lineRule="auto"/>
        <w:ind w:left="993"/>
        <w:jc w:val="both"/>
        <w:rPr>
          <w:rFonts w:asciiTheme="minorHAnsi" w:eastAsia="Times New Roman" w:hAnsiTheme="minorHAnsi" w:cstheme="minorHAnsi"/>
          <w:lang w:eastAsia="pl-PL"/>
        </w:rPr>
      </w:pPr>
      <w:r w:rsidRPr="00B44C9C">
        <w:rPr>
          <w:rFonts w:asciiTheme="minorHAnsi" w:eastAsia="Times New Roman" w:hAnsiTheme="minorHAnsi" w:cstheme="minorHAnsi"/>
          <w:lang w:eastAsia="pl-PL"/>
        </w:rPr>
        <w:t xml:space="preserve">Termin realizacji każdego zlecenia będzie określony w zgłoszeniu i liczony od dnia jego złożenia, </w:t>
      </w:r>
      <w:r w:rsidRPr="00B44C9C">
        <w:rPr>
          <w:rFonts w:asciiTheme="minorHAnsi" w:eastAsia="Times New Roman" w:hAnsiTheme="minorHAnsi" w:cstheme="minorHAnsi"/>
          <w:lang w:eastAsia="pl-PL"/>
        </w:rPr>
        <w:br/>
        <w:t>z tym, że: termin udzielenia porady prawnej nie może przekroczyć 1 dnia roboczego, termin sprawdzenia umowy nie może przekroczyć 2 dni roboczych, termin sporządzenia opinii w formie pisemnej nie może przekroczyć 4 dni roboczych, termin przygotowania pism procesowych nie może przekroczyć terminów ustawowych lub sądowych z uwzględnieniem terminu niezbędnego na zapoznanie się przez Z</w:t>
      </w:r>
      <w:r>
        <w:rPr>
          <w:rFonts w:asciiTheme="minorHAnsi" w:eastAsia="Times New Roman" w:hAnsiTheme="minorHAnsi" w:cstheme="minorHAnsi"/>
          <w:lang w:eastAsia="pl-PL"/>
        </w:rPr>
        <w:t xml:space="preserve">amawiającego </w:t>
      </w:r>
      <w:r w:rsidRPr="00B44C9C">
        <w:rPr>
          <w:rFonts w:asciiTheme="minorHAnsi" w:eastAsia="Times New Roman" w:hAnsiTheme="minorHAnsi" w:cstheme="minorHAnsi"/>
          <w:lang w:eastAsia="pl-PL"/>
        </w:rPr>
        <w:t xml:space="preserve"> z projektem pisma przed jego złożeniem. Przekroczenie terminów będzie objęte karą umowną w wysokości odpowiedniej do wartości umowy, naliczanej za każdy dzień zwłoki. </w:t>
      </w:r>
    </w:p>
    <w:p w14:paraId="264D8A9D" w14:textId="40A7B27A" w:rsidR="00E804BC" w:rsidRPr="00B44C9C" w:rsidRDefault="00E804BC" w:rsidP="00E804BC">
      <w:pPr>
        <w:pStyle w:val="Akapitzlist"/>
        <w:numPr>
          <w:ilvl w:val="0"/>
          <w:numId w:val="1"/>
        </w:numPr>
        <w:spacing w:line="360" w:lineRule="auto"/>
        <w:ind w:left="993"/>
        <w:jc w:val="both"/>
        <w:rPr>
          <w:rFonts w:asciiTheme="minorHAnsi" w:eastAsia="Times New Roman" w:hAnsiTheme="minorHAnsi" w:cstheme="minorHAnsi"/>
          <w:lang w:eastAsia="pl-PL"/>
        </w:rPr>
      </w:pPr>
      <w:r w:rsidRPr="00B44C9C">
        <w:rPr>
          <w:rFonts w:asciiTheme="minorHAnsi" w:eastAsia="Times New Roman" w:hAnsiTheme="minorHAnsi" w:cstheme="minorHAnsi"/>
          <w:lang w:eastAsia="pl-PL"/>
        </w:rPr>
        <w:t xml:space="preserve">Wykonawca zapewni dostępność </w:t>
      </w:r>
      <w:r>
        <w:rPr>
          <w:rFonts w:asciiTheme="minorHAnsi" w:eastAsia="Times New Roman" w:hAnsiTheme="minorHAnsi" w:cstheme="minorHAnsi"/>
          <w:lang w:eastAsia="pl-PL"/>
        </w:rPr>
        <w:t xml:space="preserve">zdalną </w:t>
      </w:r>
      <w:r w:rsidRPr="00B44C9C">
        <w:rPr>
          <w:rFonts w:asciiTheme="minorHAnsi" w:eastAsia="Times New Roman" w:hAnsiTheme="minorHAnsi" w:cstheme="minorHAnsi"/>
          <w:lang w:eastAsia="pl-PL"/>
        </w:rPr>
        <w:t xml:space="preserve">osób wskazanych do obsługi </w:t>
      </w:r>
      <w:r>
        <w:rPr>
          <w:rFonts w:asciiTheme="minorHAnsi" w:eastAsia="Times New Roman" w:hAnsiTheme="minorHAnsi" w:cstheme="minorHAnsi"/>
          <w:lang w:eastAsia="pl-PL"/>
        </w:rPr>
        <w:t xml:space="preserve">prawnej </w:t>
      </w:r>
      <w:r w:rsidRPr="00B44C9C">
        <w:rPr>
          <w:rFonts w:asciiTheme="minorHAnsi" w:eastAsia="Times New Roman" w:hAnsiTheme="minorHAnsi" w:cstheme="minorHAnsi"/>
          <w:lang w:eastAsia="pl-PL"/>
        </w:rPr>
        <w:t>(tj. mailowo i telefonicznie</w:t>
      </w:r>
      <w:r>
        <w:rPr>
          <w:rFonts w:asciiTheme="minorHAnsi" w:eastAsia="Times New Roman" w:hAnsiTheme="minorHAnsi" w:cstheme="minorHAnsi"/>
          <w:lang w:eastAsia="pl-PL"/>
        </w:rPr>
        <w:t>)</w:t>
      </w:r>
      <w:r w:rsidRPr="00B44C9C">
        <w:rPr>
          <w:rFonts w:asciiTheme="minorHAnsi" w:eastAsia="Times New Roman" w:hAnsiTheme="minorHAnsi" w:cstheme="minorHAnsi"/>
          <w:lang w:eastAsia="pl-PL"/>
        </w:rPr>
        <w:t xml:space="preserve"> </w:t>
      </w:r>
      <w:r w:rsidRPr="00B44C9C">
        <w:rPr>
          <w:rFonts w:asciiTheme="minorHAnsi" w:eastAsia="Times New Roman" w:hAnsiTheme="minorHAnsi" w:cstheme="minorHAnsi"/>
          <w:lang w:eastAsia="pl-PL"/>
        </w:rPr>
        <w:br/>
        <w:t xml:space="preserve">w </w:t>
      </w:r>
      <w:r>
        <w:rPr>
          <w:rFonts w:asciiTheme="minorHAnsi" w:eastAsia="Times New Roman" w:hAnsiTheme="minorHAnsi" w:cstheme="minorHAnsi"/>
          <w:lang w:eastAsia="pl-PL"/>
        </w:rPr>
        <w:t xml:space="preserve">każdy roboczy dzień tygodnia w </w:t>
      </w:r>
      <w:r w:rsidRPr="00B44C9C">
        <w:rPr>
          <w:rFonts w:asciiTheme="minorHAnsi" w:eastAsia="Times New Roman" w:hAnsiTheme="minorHAnsi" w:cstheme="minorHAnsi"/>
          <w:lang w:eastAsia="pl-PL"/>
        </w:rPr>
        <w:t xml:space="preserve">godz. 9.00-16.00, z wyłączeniem sobót, niedziel </w:t>
      </w:r>
      <w:r>
        <w:rPr>
          <w:rFonts w:asciiTheme="minorHAnsi" w:eastAsia="Times New Roman" w:hAnsiTheme="minorHAnsi" w:cstheme="minorHAnsi"/>
          <w:lang w:eastAsia="pl-PL"/>
        </w:rPr>
        <w:t xml:space="preserve">oraz </w:t>
      </w:r>
      <w:r w:rsidRPr="00B44C9C">
        <w:rPr>
          <w:rFonts w:asciiTheme="minorHAnsi" w:eastAsia="Times New Roman" w:hAnsiTheme="minorHAnsi" w:cstheme="minorHAnsi"/>
          <w:lang w:eastAsia="pl-PL"/>
        </w:rPr>
        <w:t xml:space="preserve">dni </w:t>
      </w:r>
      <w:r>
        <w:rPr>
          <w:rFonts w:asciiTheme="minorHAnsi" w:eastAsia="Times New Roman" w:hAnsiTheme="minorHAnsi" w:cstheme="minorHAnsi"/>
          <w:lang w:eastAsia="pl-PL"/>
        </w:rPr>
        <w:t>ustawowo wolnych od pracy</w:t>
      </w:r>
      <w:r w:rsidRPr="00B44C9C">
        <w:rPr>
          <w:rFonts w:asciiTheme="minorHAnsi" w:eastAsia="Times New Roman" w:hAnsiTheme="minorHAnsi" w:cstheme="minorHAnsi"/>
          <w:lang w:eastAsia="pl-PL"/>
        </w:rPr>
        <w:t xml:space="preserve">. </w:t>
      </w:r>
    </w:p>
    <w:p w14:paraId="07CB6090" w14:textId="77777777" w:rsidR="00E804BC" w:rsidRDefault="00E804BC" w:rsidP="00E804BC">
      <w:pPr>
        <w:pStyle w:val="Akapitzlist"/>
        <w:numPr>
          <w:ilvl w:val="0"/>
          <w:numId w:val="1"/>
        </w:numPr>
        <w:spacing w:line="360" w:lineRule="auto"/>
        <w:ind w:left="993"/>
        <w:jc w:val="both"/>
        <w:rPr>
          <w:rFonts w:asciiTheme="minorHAnsi" w:eastAsia="Times New Roman" w:hAnsiTheme="minorHAnsi" w:cstheme="minorHAnsi"/>
          <w:lang w:eastAsia="pl-PL"/>
        </w:rPr>
      </w:pPr>
      <w:r>
        <w:rPr>
          <w:rFonts w:asciiTheme="minorHAnsi" w:eastAsia="Times New Roman" w:hAnsiTheme="minorHAnsi" w:cstheme="minorHAnsi"/>
          <w:lang w:eastAsia="pl-PL"/>
        </w:rPr>
        <w:t xml:space="preserve">Wykonawca zapewni dostępność osobistą osoby wskazanej do obsługi prawnej w siedzibie Zamawiającego </w:t>
      </w:r>
      <w:r w:rsidRPr="00B44C9C">
        <w:rPr>
          <w:rFonts w:asciiTheme="minorHAnsi" w:eastAsia="Times New Roman" w:hAnsiTheme="minorHAnsi" w:cstheme="minorHAnsi"/>
          <w:lang w:eastAsia="pl-PL"/>
        </w:rPr>
        <w:t xml:space="preserve"> minimum 1 raz w tygodniu, </w:t>
      </w:r>
      <w:r>
        <w:rPr>
          <w:rFonts w:asciiTheme="minorHAnsi" w:eastAsia="Times New Roman" w:hAnsiTheme="minorHAnsi" w:cstheme="minorHAnsi"/>
          <w:lang w:eastAsia="pl-PL"/>
        </w:rPr>
        <w:t xml:space="preserve">w </w:t>
      </w:r>
      <w:r w:rsidRPr="00B44C9C">
        <w:rPr>
          <w:rFonts w:asciiTheme="minorHAnsi" w:eastAsia="Times New Roman" w:hAnsiTheme="minorHAnsi" w:cstheme="minorHAnsi"/>
          <w:lang w:eastAsia="pl-PL"/>
        </w:rPr>
        <w:t xml:space="preserve"> ustalon</w:t>
      </w:r>
      <w:r>
        <w:rPr>
          <w:rFonts w:asciiTheme="minorHAnsi" w:eastAsia="Times New Roman" w:hAnsiTheme="minorHAnsi" w:cstheme="minorHAnsi"/>
          <w:lang w:eastAsia="pl-PL"/>
        </w:rPr>
        <w:t>ym</w:t>
      </w:r>
      <w:r w:rsidRPr="00B44C9C">
        <w:rPr>
          <w:rFonts w:asciiTheme="minorHAnsi" w:eastAsia="Times New Roman" w:hAnsiTheme="minorHAnsi" w:cstheme="minorHAnsi"/>
          <w:lang w:eastAsia="pl-PL"/>
        </w:rPr>
        <w:t xml:space="preserve"> </w:t>
      </w:r>
      <w:r>
        <w:rPr>
          <w:rFonts w:asciiTheme="minorHAnsi" w:eastAsia="Times New Roman" w:hAnsiTheme="minorHAnsi" w:cstheme="minorHAnsi"/>
          <w:lang w:eastAsia="pl-PL"/>
        </w:rPr>
        <w:t>przez Zamawiającego terminie</w:t>
      </w:r>
      <w:r w:rsidRPr="00B44C9C">
        <w:rPr>
          <w:rFonts w:asciiTheme="minorHAnsi" w:eastAsia="Times New Roman" w:hAnsiTheme="minorHAnsi" w:cstheme="minorHAnsi"/>
          <w:lang w:eastAsia="pl-PL"/>
        </w:rPr>
        <w:t xml:space="preserve"> przez okres 2-4 godzin, </w:t>
      </w:r>
      <w:r>
        <w:rPr>
          <w:rFonts w:asciiTheme="minorHAnsi" w:eastAsia="Times New Roman" w:hAnsiTheme="minorHAnsi" w:cstheme="minorHAnsi"/>
          <w:lang w:eastAsia="pl-PL"/>
        </w:rPr>
        <w:br/>
      </w:r>
      <w:r w:rsidRPr="00B44C9C">
        <w:rPr>
          <w:rFonts w:asciiTheme="minorHAnsi" w:eastAsia="Times New Roman" w:hAnsiTheme="minorHAnsi" w:cstheme="minorHAnsi"/>
          <w:lang w:eastAsia="pl-PL"/>
        </w:rPr>
        <w:t>w zależności od liczby i wagi spraw konsultowanych.</w:t>
      </w:r>
    </w:p>
    <w:p w14:paraId="20441848" w14:textId="1F3C2DAE" w:rsidR="00E804BC" w:rsidRPr="005143FE" w:rsidRDefault="00E804BC" w:rsidP="00E804BC">
      <w:pPr>
        <w:pStyle w:val="Akapitzlist"/>
        <w:numPr>
          <w:ilvl w:val="0"/>
          <w:numId w:val="1"/>
        </w:numPr>
        <w:spacing w:line="360" w:lineRule="auto"/>
        <w:ind w:left="993"/>
        <w:jc w:val="both"/>
        <w:rPr>
          <w:rFonts w:asciiTheme="minorHAnsi" w:eastAsia="Times New Roman" w:hAnsiTheme="minorHAnsi" w:cstheme="minorHAnsi"/>
          <w:lang w:eastAsia="pl-PL"/>
        </w:rPr>
      </w:pPr>
      <w:r w:rsidRPr="005143FE">
        <w:rPr>
          <w:rFonts w:asciiTheme="minorHAnsi" w:eastAsia="Times New Roman" w:hAnsiTheme="minorHAnsi" w:cstheme="minorHAnsi"/>
          <w:lang w:eastAsia="pl-PL"/>
        </w:rPr>
        <w:t xml:space="preserve">Wykonawca zapewni kontynuację prowadzenia wszystkich </w:t>
      </w:r>
      <w:r>
        <w:rPr>
          <w:rFonts w:asciiTheme="minorHAnsi" w:eastAsia="Times New Roman" w:hAnsiTheme="minorHAnsi" w:cstheme="minorHAnsi"/>
          <w:lang w:eastAsia="pl-PL"/>
        </w:rPr>
        <w:t>niezakończonych</w:t>
      </w:r>
      <w:r w:rsidR="0047362C">
        <w:rPr>
          <w:rFonts w:asciiTheme="minorHAnsi" w:eastAsia="Times New Roman" w:hAnsiTheme="minorHAnsi" w:cstheme="minorHAnsi"/>
          <w:lang w:eastAsia="pl-PL"/>
        </w:rPr>
        <w:t>,</w:t>
      </w:r>
      <w:r>
        <w:rPr>
          <w:rFonts w:asciiTheme="minorHAnsi" w:eastAsia="Times New Roman" w:hAnsiTheme="minorHAnsi" w:cstheme="minorHAnsi"/>
          <w:lang w:eastAsia="pl-PL"/>
        </w:rPr>
        <w:t xml:space="preserve"> </w:t>
      </w:r>
      <w:r w:rsidRPr="005143FE">
        <w:rPr>
          <w:rFonts w:asciiTheme="minorHAnsi" w:eastAsia="Times New Roman" w:hAnsiTheme="minorHAnsi" w:cstheme="minorHAnsi"/>
          <w:lang w:eastAsia="pl-PL"/>
        </w:rPr>
        <w:t xml:space="preserve">przed </w:t>
      </w:r>
      <w:r w:rsidR="0047362C">
        <w:rPr>
          <w:rFonts w:asciiTheme="minorHAnsi" w:eastAsia="Times New Roman" w:hAnsiTheme="minorHAnsi" w:cstheme="minorHAnsi"/>
          <w:lang w:eastAsia="pl-PL"/>
        </w:rPr>
        <w:t>dniem rozpoczęcia świadczenia usług,</w:t>
      </w:r>
      <w:r w:rsidRPr="005143FE">
        <w:rPr>
          <w:rFonts w:asciiTheme="minorHAnsi" w:eastAsia="Times New Roman" w:hAnsiTheme="minorHAnsi" w:cstheme="minorHAnsi"/>
          <w:lang w:eastAsia="pl-PL"/>
        </w:rPr>
        <w:t xml:space="preserve"> spraw  wraz z reprezentowaniem Zamawiającego</w:t>
      </w:r>
      <w:r>
        <w:rPr>
          <w:rFonts w:asciiTheme="minorHAnsi" w:eastAsia="Times New Roman" w:hAnsiTheme="minorHAnsi" w:cstheme="minorHAnsi"/>
          <w:lang w:eastAsia="pl-PL"/>
        </w:rPr>
        <w:t>.</w:t>
      </w:r>
      <w:r w:rsidRPr="005143FE">
        <w:rPr>
          <w:rFonts w:asciiTheme="minorHAnsi" w:eastAsia="Times New Roman" w:hAnsiTheme="minorHAnsi" w:cstheme="minorHAnsi"/>
          <w:lang w:eastAsia="pl-PL"/>
        </w:rPr>
        <w:t xml:space="preserve"> </w:t>
      </w:r>
    </w:p>
    <w:p w14:paraId="6F643CD3" w14:textId="77777777" w:rsidR="00E804BC" w:rsidRDefault="00E804BC" w:rsidP="00E804BC">
      <w:pPr>
        <w:pStyle w:val="Akapitzlist"/>
        <w:numPr>
          <w:ilvl w:val="0"/>
          <w:numId w:val="1"/>
        </w:numPr>
        <w:spacing w:line="360" w:lineRule="auto"/>
        <w:ind w:left="993"/>
        <w:jc w:val="both"/>
        <w:rPr>
          <w:rFonts w:asciiTheme="minorHAnsi" w:eastAsia="Times New Roman" w:hAnsiTheme="minorHAnsi" w:cstheme="minorHAnsi"/>
          <w:lang w:eastAsia="pl-PL"/>
        </w:rPr>
      </w:pPr>
      <w:r w:rsidRPr="00B44C9C">
        <w:rPr>
          <w:rFonts w:asciiTheme="minorHAnsi" w:eastAsia="Times New Roman" w:hAnsiTheme="minorHAnsi" w:cstheme="minorHAnsi"/>
          <w:lang w:eastAsia="pl-PL"/>
        </w:rPr>
        <w:t>W ramach ustalonego wynagrodzenia Wykonawca zapewni ciągłość obsługi prawnej Zlecającego, również w sytuacji,  gdy wykonywanie czynności objętych umową będzie w kolizji z interesami innych podmiotów gospodarczych obsługiwanych przez kancelarię. Zlecanie wykonania prac objętych umową osobom trzecim będzie następować  za uprzednią zgodą Z</w:t>
      </w:r>
      <w:r>
        <w:rPr>
          <w:rFonts w:asciiTheme="minorHAnsi" w:eastAsia="Times New Roman" w:hAnsiTheme="minorHAnsi" w:cstheme="minorHAnsi"/>
          <w:lang w:eastAsia="pl-PL"/>
        </w:rPr>
        <w:t>amawiającego</w:t>
      </w:r>
      <w:r w:rsidRPr="00B44C9C">
        <w:rPr>
          <w:rFonts w:asciiTheme="minorHAnsi" w:eastAsia="Times New Roman" w:hAnsiTheme="minorHAnsi" w:cstheme="minorHAnsi"/>
          <w:lang w:eastAsia="pl-PL"/>
        </w:rPr>
        <w:t>.</w:t>
      </w:r>
    </w:p>
    <w:p w14:paraId="737E4D1B" w14:textId="77777777" w:rsidR="00E804BC" w:rsidRPr="00B44C9C" w:rsidRDefault="00E804BC" w:rsidP="00E804BC">
      <w:pPr>
        <w:pStyle w:val="Akapitzlist"/>
        <w:numPr>
          <w:ilvl w:val="0"/>
          <w:numId w:val="1"/>
        </w:numPr>
        <w:spacing w:line="360" w:lineRule="auto"/>
        <w:ind w:left="993"/>
        <w:jc w:val="both"/>
        <w:rPr>
          <w:rFonts w:asciiTheme="minorHAnsi" w:eastAsia="Times New Roman" w:hAnsiTheme="minorHAnsi" w:cstheme="minorHAnsi"/>
          <w:lang w:eastAsia="pl-PL"/>
        </w:rPr>
      </w:pPr>
      <w:r w:rsidRPr="00B44C9C">
        <w:rPr>
          <w:rFonts w:asciiTheme="minorHAnsi" w:eastAsia="Times New Roman" w:hAnsiTheme="minorHAnsi" w:cstheme="minorHAnsi"/>
          <w:lang w:eastAsia="pl-PL"/>
        </w:rPr>
        <w:t>Wykonawca zobowiązuje się do opracowania raportów z prowadzonych spraw łącznie z opisem ich stanu zaawansowania:</w:t>
      </w:r>
    </w:p>
    <w:p w14:paraId="4F60F8B9" w14:textId="77777777" w:rsidR="00E804BC" w:rsidRPr="00B44C9C" w:rsidRDefault="00E804BC" w:rsidP="00E804BC">
      <w:pPr>
        <w:pStyle w:val="Akapitzlist"/>
        <w:numPr>
          <w:ilvl w:val="1"/>
          <w:numId w:val="1"/>
        </w:numPr>
        <w:spacing w:line="360" w:lineRule="auto"/>
        <w:contextualSpacing w:val="0"/>
        <w:jc w:val="both"/>
        <w:rPr>
          <w:rFonts w:asciiTheme="minorHAnsi" w:eastAsia="Times New Roman" w:hAnsiTheme="minorHAnsi" w:cstheme="minorHAnsi"/>
          <w:lang w:eastAsia="pl-PL"/>
        </w:rPr>
      </w:pPr>
      <w:r w:rsidRPr="00B44C9C">
        <w:rPr>
          <w:rFonts w:asciiTheme="minorHAnsi" w:eastAsia="Times New Roman" w:hAnsiTheme="minorHAnsi" w:cstheme="minorHAnsi"/>
          <w:lang w:eastAsia="pl-PL"/>
        </w:rPr>
        <w:t>półrocznego –  do 15 dni po zakończeniu półrocza kalendarzowego,</w:t>
      </w:r>
    </w:p>
    <w:p w14:paraId="5632AB0C" w14:textId="3FD9D4D1" w:rsidR="00DC684C" w:rsidRDefault="00E804BC" w:rsidP="00E804BC">
      <w:pPr>
        <w:pStyle w:val="Akapitzlist"/>
        <w:numPr>
          <w:ilvl w:val="1"/>
          <w:numId w:val="1"/>
        </w:numPr>
        <w:spacing w:line="360" w:lineRule="auto"/>
        <w:contextualSpacing w:val="0"/>
        <w:jc w:val="both"/>
        <w:rPr>
          <w:rFonts w:asciiTheme="minorHAnsi" w:eastAsia="Times New Roman" w:hAnsiTheme="minorHAnsi" w:cstheme="minorHAnsi"/>
          <w:lang w:eastAsia="pl-PL"/>
        </w:rPr>
      </w:pPr>
      <w:r w:rsidRPr="002B2BA9">
        <w:rPr>
          <w:rFonts w:asciiTheme="minorHAnsi" w:eastAsia="Times New Roman" w:hAnsiTheme="minorHAnsi" w:cstheme="minorHAnsi"/>
          <w:lang w:eastAsia="pl-PL"/>
        </w:rPr>
        <w:t>końcowego – na dzień zakończenia umowy.</w:t>
      </w:r>
    </w:p>
    <w:p w14:paraId="7543A9E6" w14:textId="2B864DA1" w:rsidR="00E804BC" w:rsidRPr="00DC684C" w:rsidRDefault="00DC684C" w:rsidP="00DC684C">
      <w:pPr>
        <w:spacing w:after="160" w:line="259" w:lineRule="auto"/>
        <w:ind w:left="0"/>
        <w:rPr>
          <w:rFonts w:asciiTheme="minorHAnsi" w:eastAsia="Times New Roman" w:hAnsiTheme="minorHAnsi" w:cstheme="minorHAnsi"/>
          <w:lang w:eastAsia="pl-PL"/>
        </w:rPr>
      </w:pPr>
      <w:r>
        <w:rPr>
          <w:rFonts w:asciiTheme="minorHAnsi" w:eastAsia="Times New Roman" w:hAnsiTheme="minorHAnsi" w:cstheme="minorHAnsi"/>
          <w:lang w:eastAsia="pl-PL"/>
        </w:rPr>
        <w:br w:type="page"/>
      </w:r>
    </w:p>
    <w:p w14:paraId="6A06A75D" w14:textId="77777777" w:rsidR="00E804BC" w:rsidRPr="002B2BA9" w:rsidRDefault="00E804BC" w:rsidP="00E804BC">
      <w:pPr>
        <w:pStyle w:val="Akapitzlist"/>
        <w:numPr>
          <w:ilvl w:val="0"/>
          <w:numId w:val="4"/>
        </w:numPr>
        <w:spacing w:line="360" w:lineRule="auto"/>
        <w:ind w:left="993" w:hanging="578"/>
        <w:jc w:val="both"/>
        <w:rPr>
          <w:rFonts w:asciiTheme="minorHAnsi" w:eastAsia="Times New Roman" w:hAnsiTheme="minorHAnsi" w:cstheme="minorHAnsi"/>
          <w:b/>
          <w:bCs/>
          <w:lang w:eastAsia="pl-PL"/>
        </w:rPr>
      </w:pPr>
      <w:r w:rsidRPr="002B2BA9">
        <w:rPr>
          <w:rFonts w:asciiTheme="minorHAnsi" w:eastAsia="Times New Roman" w:hAnsiTheme="minorHAnsi" w:cstheme="minorHAnsi"/>
          <w:b/>
          <w:bCs/>
          <w:lang w:eastAsia="pl-PL"/>
        </w:rPr>
        <w:lastRenderedPageBreak/>
        <w:t>Wynagrodzenie</w:t>
      </w:r>
    </w:p>
    <w:p w14:paraId="1C4F8902" w14:textId="77777777" w:rsidR="00E804BC" w:rsidRPr="00B44C9C" w:rsidRDefault="00E804BC" w:rsidP="00E804BC">
      <w:pPr>
        <w:pStyle w:val="Akapitzlist"/>
        <w:numPr>
          <w:ilvl w:val="0"/>
          <w:numId w:val="3"/>
        </w:numPr>
        <w:spacing w:line="360" w:lineRule="auto"/>
        <w:ind w:left="993"/>
        <w:jc w:val="both"/>
        <w:rPr>
          <w:rFonts w:asciiTheme="minorHAnsi" w:eastAsia="Times New Roman" w:hAnsiTheme="minorHAnsi" w:cstheme="minorHAnsi"/>
          <w:lang w:eastAsia="pl-PL"/>
        </w:rPr>
      </w:pPr>
      <w:r w:rsidRPr="00B44C9C">
        <w:rPr>
          <w:rFonts w:asciiTheme="minorHAnsi" w:eastAsia="Times New Roman" w:hAnsiTheme="minorHAnsi" w:cstheme="minorHAnsi"/>
          <w:lang w:eastAsia="pl-PL"/>
        </w:rPr>
        <w:t>Wynagrodzenie za obsługę prawną z zakresie ustalonym w rozdziale I, ust. 1 przyjmuje postać ryczałtu, będzie płatne z dołu na podstawie faktury wystawionej na koniec miesiąca, przelewem, w terminie 30 dni od otrzymania faktury.</w:t>
      </w:r>
    </w:p>
    <w:p w14:paraId="3247CC9F" w14:textId="77777777" w:rsidR="00E804BC" w:rsidRPr="00B44C9C" w:rsidRDefault="00E804BC" w:rsidP="00E804BC">
      <w:pPr>
        <w:pStyle w:val="Akapitzlist"/>
        <w:numPr>
          <w:ilvl w:val="0"/>
          <w:numId w:val="3"/>
        </w:numPr>
        <w:spacing w:line="360" w:lineRule="auto"/>
        <w:ind w:left="993"/>
        <w:jc w:val="both"/>
        <w:rPr>
          <w:rFonts w:asciiTheme="minorHAnsi" w:eastAsia="Times New Roman" w:hAnsiTheme="minorHAnsi" w:cstheme="minorHAnsi"/>
          <w:lang w:eastAsia="pl-PL"/>
        </w:rPr>
      </w:pPr>
      <w:r w:rsidRPr="00B44C9C">
        <w:rPr>
          <w:rFonts w:asciiTheme="minorHAnsi" w:eastAsia="Times New Roman" w:hAnsiTheme="minorHAnsi" w:cstheme="minorHAnsi"/>
          <w:lang w:eastAsia="pl-PL"/>
        </w:rPr>
        <w:t>Wynagrodzenie za prowadzenie spraw z zakresie ustalonym w rozdziale I, ust. 2 będzie uzależnione od wyniku sprawy. W przypadku przegrania postępowania lub braku zasądzenia kosztów poniesionych z tytułu wynagrodzenia pełnomocnika, usługa zastępstwa będzie świadczona w ramach wynagrodzenia ryczałtowego za obsługę prawną. W przypadku należności zasądzonych i skutecznie ściągniętych na rzecz Z</w:t>
      </w:r>
      <w:r>
        <w:rPr>
          <w:rFonts w:asciiTheme="minorHAnsi" w:eastAsia="Times New Roman" w:hAnsiTheme="minorHAnsi" w:cstheme="minorHAnsi"/>
          <w:lang w:eastAsia="pl-PL"/>
        </w:rPr>
        <w:t>amawiającego</w:t>
      </w:r>
      <w:r w:rsidRPr="00B44C9C">
        <w:rPr>
          <w:rFonts w:asciiTheme="minorHAnsi" w:eastAsia="Times New Roman" w:hAnsiTheme="minorHAnsi" w:cstheme="minorHAnsi"/>
          <w:lang w:eastAsia="pl-PL"/>
        </w:rPr>
        <w:t xml:space="preserve"> w okresie obowiązywania umowy, koszty zastępstwa procesowego stanowić będą dodatkowe wynagrodzenie w wysokości ustalonej przez sąd lub organ prowadzący post</w:t>
      </w:r>
      <w:r>
        <w:rPr>
          <w:rFonts w:asciiTheme="minorHAnsi" w:eastAsia="Times New Roman" w:hAnsiTheme="minorHAnsi" w:cstheme="minorHAnsi"/>
          <w:lang w:eastAsia="pl-PL"/>
        </w:rPr>
        <w:t>ę</w:t>
      </w:r>
      <w:r w:rsidRPr="00B44C9C">
        <w:rPr>
          <w:rFonts w:asciiTheme="minorHAnsi" w:eastAsia="Times New Roman" w:hAnsiTheme="minorHAnsi" w:cstheme="minorHAnsi"/>
          <w:lang w:eastAsia="pl-PL"/>
        </w:rPr>
        <w:t>powanie.</w:t>
      </w:r>
    </w:p>
    <w:p w14:paraId="0781C0C3" w14:textId="77777777" w:rsidR="00E804BC" w:rsidRPr="00B44C9C" w:rsidRDefault="00E804BC" w:rsidP="00E804BC">
      <w:pPr>
        <w:pStyle w:val="Akapitzlist"/>
        <w:numPr>
          <w:ilvl w:val="0"/>
          <w:numId w:val="3"/>
        </w:numPr>
        <w:spacing w:line="360" w:lineRule="auto"/>
        <w:ind w:left="993"/>
        <w:jc w:val="both"/>
        <w:rPr>
          <w:rFonts w:asciiTheme="minorHAnsi" w:eastAsia="Times New Roman" w:hAnsiTheme="minorHAnsi" w:cstheme="minorHAnsi"/>
          <w:lang w:eastAsia="pl-PL"/>
        </w:rPr>
      </w:pPr>
      <w:r w:rsidRPr="00B44C9C">
        <w:rPr>
          <w:rFonts w:asciiTheme="minorHAnsi" w:eastAsia="Times New Roman" w:hAnsiTheme="minorHAnsi" w:cstheme="minorHAnsi"/>
          <w:lang w:eastAsia="pl-PL"/>
        </w:rPr>
        <w:t>Wynagrodzenie za obsługę prawną w zakresie ustalonym w rozdziale I, ust. 3  przyjmuje postać rozliczenia godzinowego, będzie płatne z dołu na podstawie faktury wystawionej na koniec miesiąca, przelewem, w terminie 30 dni od otrzymania faktury.</w:t>
      </w:r>
    </w:p>
    <w:p w14:paraId="17CCB9E1" w14:textId="77777777" w:rsidR="00E804BC" w:rsidRPr="00B44C9C" w:rsidRDefault="00E804BC" w:rsidP="00E804BC">
      <w:pPr>
        <w:pStyle w:val="Akapitzlist"/>
        <w:numPr>
          <w:ilvl w:val="0"/>
          <w:numId w:val="3"/>
        </w:numPr>
        <w:spacing w:line="360" w:lineRule="auto"/>
        <w:ind w:left="993"/>
        <w:jc w:val="both"/>
        <w:rPr>
          <w:rFonts w:asciiTheme="minorHAnsi" w:eastAsia="Times New Roman" w:hAnsiTheme="minorHAnsi" w:cstheme="minorHAnsi"/>
          <w:lang w:eastAsia="pl-PL"/>
        </w:rPr>
      </w:pPr>
      <w:r w:rsidRPr="00B44C9C">
        <w:rPr>
          <w:rFonts w:asciiTheme="minorHAnsi" w:eastAsia="Times New Roman" w:hAnsiTheme="minorHAnsi" w:cstheme="minorHAnsi"/>
          <w:lang w:eastAsia="pl-PL"/>
        </w:rPr>
        <w:t xml:space="preserve">Wykonawca ponosi koszty biurowe, koszty zwykłej korespondencji na terenie kraju, koszty dojazdu na rozprawy prowadzone w ramach konurbacji katowickiej. </w:t>
      </w:r>
    </w:p>
    <w:p w14:paraId="2403B9B1" w14:textId="77777777" w:rsidR="00E804BC" w:rsidRPr="00B44C9C" w:rsidRDefault="00E804BC" w:rsidP="00E804BC">
      <w:pPr>
        <w:pStyle w:val="Akapitzlist"/>
        <w:numPr>
          <w:ilvl w:val="0"/>
          <w:numId w:val="3"/>
        </w:numPr>
        <w:spacing w:line="360" w:lineRule="auto"/>
        <w:ind w:left="993"/>
        <w:jc w:val="both"/>
        <w:rPr>
          <w:rFonts w:asciiTheme="minorHAnsi" w:eastAsia="Times New Roman" w:hAnsiTheme="minorHAnsi" w:cstheme="minorHAnsi"/>
          <w:lang w:eastAsia="pl-PL"/>
        </w:rPr>
      </w:pPr>
      <w:r w:rsidRPr="00B44C9C">
        <w:rPr>
          <w:rFonts w:asciiTheme="minorHAnsi" w:eastAsia="Times New Roman" w:hAnsiTheme="minorHAnsi" w:cstheme="minorHAnsi"/>
          <w:lang w:eastAsia="pl-PL"/>
        </w:rPr>
        <w:t>Z</w:t>
      </w:r>
      <w:r>
        <w:rPr>
          <w:rFonts w:asciiTheme="minorHAnsi" w:eastAsia="Times New Roman" w:hAnsiTheme="minorHAnsi" w:cstheme="minorHAnsi"/>
          <w:lang w:eastAsia="pl-PL"/>
        </w:rPr>
        <w:t>amawiający</w:t>
      </w:r>
      <w:r w:rsidRPr="00B44C9C">
        <w:rPr>
          <w:rFonts w:asciiTheme="minorHAnsi" w:eastAsia="Times New Roman" w:hAnsiTheme="minorHAnsi" w:cstheme="minorHAnsi"/>
          <w:lang w:eastAsia="pl-PL"/>
        </w:rPr>
        <w:t xml:space="preserve"> ponosi koszty opłat sądowych, skarbowych, notarialnych i egzekucyjnych.</w:t>
      </w:r>
    </w:p>
    <w:p w14:paraId="0C0165EF" w14:textId="77777777" w:rsidR="0060498C" w:rsidRDefault="0060498C"/>
    <w:sectPr w:rsidR="0060498C" w:rsidSect="000A7105">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005641" w14:textId="77777777" w:rsidR="00D4180E" w:rsidRDefault="00D4180E">
      <w:pPr>
        <w:spacing w:line="240" w:lineRule="auto"/>
      </w:pPr>
      <w:r>
        <w:separator/>
      </w:r>
    </w:p>
  </w:endnote>
  <w:endnote w:type="continuationSeparator" w:id="0">
    <w:p w14:paraId="79AD40C8" w14:textId="77777777" w:rsidR="00D4180E" w:rsidRDefault="00D418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CDF1A" w14:textId="77777777" w:rsidR="00D4180E" w:rsidRDefault="00D4180E">
      <w:pPr>
        <w:spacing w:line="240" w:lineRule="auto"/>
      </w:pPr>
      <w:r>
        <w:separator/>
      </w:r>
    </w:p>
  </w:footnote>
  <w:footnote w:type="continuationSeparator" w:id="0">
    <w:p w14:paraId="1E406068" w14:textId="77777777" w:rsidR="00D4180E" w:rsidRDefault="00D4180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783AF" w14:textId="48F5319D" w:rsidR="0006226F" w:rsidRPr="0006226F" w:rsidRDefault="00000000" w:rsidP="0006226F">
    <w:pPr>
      <w:shd w:val="clear" w:color="auto" w:fill="FFFFFF"/>
      <w:spacing w:beforeLines="60" w:before="144" w:afterLines="60" w:after="144"/>
      <w:rPr>
        <w:rFonts w:cs="Tahoma"/>
        <w:b/>
        <w:bCs/>
        <w:color w:val="000000"/>
        <w:sz w:val="18"/>
      </w:rPr>
    </w:pPr>
    <w:r w:rsidRPr="0006226F">
      <w:rPr>
        <w:rFonts w:cs="Tahoma"/>
        <w:b/>
        <w:bCs/>
        <w:color w:val="000000"/>
        <w:sz w:val="18"/>
      </w:rPr>
      <w:t xml:space="preserve">Nr  zapytania: </w:t>
    </w:r>
    <w:r>
      <w:rPr>
        <w:rFonts w:cs="Tahoma"/>
        <w:b/>
        <w:bCs/>
        <w:color w:val="000000"/>
        <w:sz w:val="18"/>
      </w:rPr>
      <w:t>FH/</w:t>
    </w:r>
    <w:r w:rsidR="00087DB4">
      <w:rPr>
        <w:rFonts w:cs="Tahoma"/>
        <w:b/>
        <w:bCs/>
        <w:color w:val="000000"/>
        <w:sz w:val="18"/>
      </w:rPr>
      <w:t>PD/0</w:t>
    </w:r>
    <w:r w:rsidR="0051472B">
      <w:rPr>
        <w:rFonts w:cs="Tahoma"/>
        <w:b/>
        <w:bCs/>
        <w:color w:val="000000"/>
        <w:sz w:val="18"/>
      </w:rPr>
      <w:t>5</w:t>
    </w:r>
    <w:r w:rsidR="00087DB4">
      <w:rPr>
        <w:rFonts w:cs="Tahoma"/>
        <w:b/>
        <w:bCs/>
        <w:color w:val="000000"/>
        <w:sz w:val="18"/>
      </w:rPr>
      <w:t>/12/22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836285"/>
    <w:multiLevelType w:val="multilevel"/>
    <w:tmpl w:val="9410A28C"/>
    <w:lvl w:ilvl="0">
      <w:start w:val="1"/>
      <w:numFmt w:val="decimal"/>
      <w:lvlText w:val="%1."/>
      <w:lvlJc w:val="left"/>
      <w:pPr>
        <w:ind w:left="644" w:hanging="360"/>
      </w:pPr>
    </w:lvl>
    <w:lvl w:ilvl="1">
      <w:start w:val="1"/>
      <w:numFmt w:val="decimal"/>
      <w:isLgl/>
      <w:lvlText w:val="%1.%2"/>
      <w:lvlJc w:val="left"/>
      <w:pPr>
        <w:ind w:left="1353" w:hanging="360"/>
      </w:pPr>
      <w:rPr>
        <w:rFonts w:hint="default"/>
      </w:rPr>
    </w:lvl>
    <w:lvl w:ilvl="2">
      <w:start w:val="1"/>
      <w:numFmt w:val="decimal"/>
      <w:isLgl/>
      <w:lvlText w:val="%1.%2.%3"/>
      <w:lvlJc w:val="left"/>
      <w:pPr>
        <w:ind w:left="2422" w:hanging="720"/>
      </w:pPr>
      <w:rPr>
        <w:rFonts w:hint="default"/>
      </w:rPr>
    </w:lvl>
    <w:lvl w:ilvl="3">
      <w:start w:val="1"/>
      <w:numFmt w:val="decimal"/>
      <w:isLgl/>
      <w:lvlText w:val="%1.%2.%3.%4"/>
      <w:lvlJc w:val="left"/>
      <w:pPr>
        <w:ind w:left="3131" w:hanging="720"/>
      </w:pPr>
      <w:rPr>
        <w:rFonts w:hint="default"/>
      </w:rPr>
    </w:lvl>
    <w:lvl w:ilvl="4">
      <w:start w:val="1"/>
      <w:numFmt w:val="decimal"/>
      <w:isLgl/>
      <w:lvlText w:val="%1.%2.%3.%4.%5"/>
      <w:lvlJc w:val="left"/>
      <w:pPr>
        <w:ind w:left="4200" w:hanging="1080"/>
      </w:pPr>
      <w:rPr>
        <w:rFonts w:hint="default"/>
      </w:rPr>
    </w:lvl>
    <w:lvl w:ilvl="5">
      <w:start w:val="1"/>
      <w:numFmt w:val="decimal"/>
      <w:isLgl/>
      <w:lvlText w:val="%1.%2.%3.%4.%5.%6"/>
      <w:lvlJc w:val="left"/>
      <w:pPr>
        <w:ind w:left="4909" w:hanging="1080"/>
      </w:pPr>
      <w:rPr>
        <w:rFonts w:hint="default"/>
      </w:rPr>
    </w:lvl>
    <w:lvl w:ilvl="6">
      <w:start w:val="1"/>
      <w:numFmt w:val="decimal"/>
      <w:isLgl/>
      <w:lvlText w:val="%1.%2.%3.%4.%5.%6.%7"/>
      <w:lvlJc w:val="left"/>
      <w:pPr>
        <w:ind w:left="5978" w:hanging="1440"/>
      </w:pPr>
      <w:rPr>
        <w:rFonts w:hint="default"/>
      </w:rPr>
    </w:lvl>
    <w:lvl w:ilvl="7">
      <w:start w:val="1"/>
      <w:numFmt w:val="decimal"/>
      <w:isLgl/>
      <w:lvlText w:val="%1.%2.%3.%4.%5.%6.%7.%8"/>
      <w:lvlJc w:val="left"/>
      <w:pPr>
        <w:ind w:left="6687" w:hanging="1440"/>
      </w:pPr>
      <w:rPr>
        <w:rFonts w:hint="default"/>
      </w:rPr>
    </w:lvl>
    <w:lvl w:ilvl="8">
      <w:start w:val="1"/>
      <w:numFmt w:val="decimal"/>
      <w:isLgl/>
      <w:lvlText w:val="%1.%2.%3.%4.%5.%6.%7.%8.%9"/>
      <w:lvlJc w:val="left"/>
      <w:pPr>
        <w:ind w:left="7396" w:hanging="1440"/>
      </w:pPr>
      <w:rPr>
        <w:rFonts w:hint="default"/>
      </w:rPr>
    </w:lvl>
  </w:abstractNum>
  <w:abstractNum w:abstractNumId="1" w15:restartNumberingAfterBreak="0">
    <w:nsid w:val="4BC163B0"/>
    <w:multiLevelType w:val="hybridMultilevel"/>
    <w:tmpl w:val="780A7B96"/>
    <w:lvl w:ilvl="0" w:tplc="6DF02B24">
      <w:start w:val="1"/>
      <w:numFmt w:val="upperRoman"/>
      <w:lvlText w:val="%1."/>
      <w:lvlJc w:val="left"/>
      <w:pPr>
        <w:ind w:left="1145" w:hanging="72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 w15:restartNumberingAfterBreak="0">
    <w:nsid w:val="76974671"/>
    <w:multiLevelType w:val="multilevel"/>
    <w:tmpl w:val="5B80B036"/>
    <w:lvl w:ilvl="0">
      <w:start w:val="1"/>
      <w:numFmt w:val="decimal"/>
      <w:lvlText w:val="%1."/>
      <w:lvlJc w:val="left"/>
      <w:pPr>
        <w:ind w:left="720" w:hanging="360"/>
      </w:pPr>
      <w:rPr>
        <w:rFonts w:hint="default"/>
      </w:rPr>
    </w:lvl>
    <w:lvl w:ilvl="1">
      <w:start w:val="1"/>
      <w:numFmt w:val="decimal"/>
      <w:lvlText w:val="%1.%2."/>
      <w:lvlJc w:val="left"/>
      <w:pPr>
        <w:ind w:left="1152" w:hanging="432"/>
      </w:pPr>
      <w:rPr>
        <w:i w:val="0"/>
        <w:iCs w:val="0"/>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 w15:restartNumberingAfterBreak="0">
    <w:nsid w:val="78A3599A"/>
    <w:multiLevelType w:val="hybridMultilevel"/>
    <w:tmpl w:val="BF548736"/>
    <w:lvl w:ilvl="0" w:tplc="FFFFFFFF">
      <w:start w:val="1"/>
      <w:numFmt w:val="decimal"/>
      <w:lvlText w:val="%1."/>
      <w:lvlJc w:val="left"/>
      <w:pPr>
        <w:ind w:left="644"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45810878">
    <w:abstractNumId w:val="0"/>
  </w:num>
  <w:num w:numId="2" w16cid:durableId="1653680764">
    <w:abstractNumId w:val="2"/>
  </w:num>
  <w:num w:numId="3" w16cid:durableId="134109952">
    <w:abstractNumId w:val="3"/>
  </w:num>
  <w:num w:numId="4" w16cid:durableId="14352437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7F7F"/>
    <w:rsid w:val="00087DB4"/>
    <w:rsid w:val="004245A3"/>
    <w:rsid w:val="0047261A"/>
    <w:rsid w:val="0047362C"/>
    <w:rsid w:val="0051472B"/>
    <w:rsid w:val="0060498C"/>
    <w:rsid w:val="00711715"/>
    <w:rsid w:val="0074140E"/>
    <w:rsid w:val="007755BF"/>
    <w:rsid w:val="007903FD"/>
    <w:rsid w:val="00903696"/>
    <w:rsid w:val="009B43D7"/>
    <w:rsid w:val="00AF7F7F"/>
    <w:rsid w:val="00D4180E"/>
    <w:rsid w:val="00DC684C"/>
    <w:rsid w:val="00E804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243EB"/>
  <w15:chartTrackingRefBased/>
  <w15:docId w15:val="{C22CB79B-34D3-46B9-B6A9-7B970E6CF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804BC"/>
    <w:pPr>
      <w:spacing w:after="0" w:line="276" w:lineRule="auto"/>
      <w:ind w:left="425"/>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EPL lista punktowana z wyrózneniem,A_wyliczenie,K-P_odwolanie,Akapit z listą5,maz_wyliczenie,opis dzialania,Wykres,Akapit z listą 1,Numerowanie,List Paragraph,lp1,Bullet 1,Use Case List Paragraph,numbered,Bullet List,FooterText,sw tekst"/>
    <w:basedOn w:val="Normalny"/>
    <w:link w:val="AkapitzlistZnak"/>
    <w:uiPriority w:val="34"/>
    <w:qFormat/>
    <w:rsid w:val="00E804BC"/>
    <w:pPr>
      <w:ind w:left="720"/>
      <w:contextualSpacing/>
    </w:pPr>
  </w:style>
  <w:style w:type="character" w:customStyle="1" w:styleId="AkapitzlistZnak">
    <w:name w:val="Akapit z listą Znak"/>
    <w:aliases w:val="EPL lista punktowana z wyrózneniem Znak,A_wyliczenie Znak,K-P_odwolanie Znak,Akapit z listą5 Znak,maz_wyliczenie Znak,opis dzialania Znak,Wykres Znak,Akapit z listą 1 Znak,Numerowanie Znak,List Paragraph Znak,lp1 Znak,Bullet 1 Znak"/>
    <w:link w:val="Akapitzlist"/>
    <w:uiPriority w:val="34"/>
    <w:qFormat/>
    <w:locked/>
    <w:rsid w:val="00E804BC"/>
    <w:rPr>
      <w:rFonts w:ascii="Calibri" w:eastAsia="Calibri" w:hAnsi="Calibri" w:cs="Times New Roman"/>
    </w:rPr>
  </w:style>
  <w:style w:type="character" w:customStyle="1" w:styleId="cf01">
    <w:name w:val="cf01"/>
    <w:basedOn w:val="Domylnaczcionkaakapitu"/>
    <w:rsid w:val="00E804BC"/>
    <w:rPr>
      <w:rFonts w:ascii="Segoe UI" w:hAnsi="Segoe UI" w:cs="Segoe UI" w:hint="default"/>
      <w:sz w:val="18"/>
      <w:szCs w:val="18"/>
    </w:rPr>
  </w:style>
  <w:style w:type="paragraph" w:styleId="Nagwek">
    <w:name w:val="header"/>
    <w:basedOn w:val="Normalny"/>
    <w:link w:val="NagwekZnak"/>
    <w:uiPriority w:val="99"/>
    <w:unhideWhenUsed/>
    <w:rsid w:val="00087DB4"/>
    <w:pPr>
      <w:tabs>
        <w:tab w:val="center" w:pos="4536"/>
        <w:tab w:val="right" w:pos="9072"/>
      </w:tabs>
      <w:spacing w:line="240" w:lineRule="auto"/>
    </w:pPr>
  </w:style>
  <w:style w:type="character" w:customStyle="1" w:styleId="NagwekZnak">
    <w:name w:val="Nagłówek Znak"/>
    <w:basedOn w:val="Domylnaczcionkaakapitu"/>
    <w:link w:val="Nagwek"/>
    <w:uiPriority w:val="99"/>
    <w:rsid w:val="00087DB4"/>
    <w:rPr>
      <w:rFonts w:ascii="Calibri" w:eastAsia="Calibri" w:hAnsi="Calibri" w:cs="Times New Roman"/>
    </w:rPr>
  </w:style>
  <w:style w:type="paragraph" w:styleId="Stopka">
    <w:name w:val="footer"/>
    <w:basedOn w:val="Normalny"/>
    <w:link w:val="StopkaZnak"/>
    <w:uiPriority w:val="99"/>
    <w:unhideWhenUsed/>
    <w:rsid w:val="00087DB4"/>
    <w:pPr>
      <w:tabs>
        <w:tab w:val="center" w:pos="4536"/>
        <w:tab w:val="right" w:pos="9072"/>
      </w:tabs>
      <w:spacing w:line="240" w:lineRule="auto"/>
    </w:pPr>
  </w:style>
  <w:style w:type="character" w:customStyle="1" w:styleId="StopkaZnak">
    <w:name w:val="Stopka Znak"/>
    <w:basedOn w:val="Domylnaczcionkaakapitu"/>
    <w:link w:val="Stopka"/>
    <w:uiPriority w:val="99"/>
    <w:rsid w:val="00087DB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900</Words>
  <Characters>5405</Characters>
  <Application>Microsoft Office Word</Application>
  <DocSecurity>0</DocSecurity>
  <Lines>45</Lines>
  <Paragraphs>12</Paragraphs>
  <ScaleCrop>false</ScaleCrop>
  <Company/>
  <LinksUpToDate>false</LinksUpToDate>
  <CharactersWithSpaces>6293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Zasada | Łukasiewicz - EMAG</dc:creator>
  <cp:keywords/>
  <dc:description/>
  <cp:lastModifiedBy>Patrycja Duszenko | Łukasiewicz - EMAG</cp:lastModifiedBy>
  <cp:revision>12</cp:revision>
  <dcterms:created xsi:type="dcterms:W3CDTF">2022-12-08T10:28:00Z</dcterms:created>
  <dcterms:modified xsi:type="dcterms:W3CDTF">2022-12-28T11:34:00Z</dcterms:modified>
</cp:coreProperties>
</file>